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05D69" w:rsidRDefault="00C05D69" w:rsidP="00C05D69">
      <w:pPr>
        <w:pStyle w:val="MDPI61Supplementary"/>
        <w:jc w:val="center"/>
        <w:rPr>
          <w:b/>
          <w:sz w:val="28"/>
          <w:szCs w:val="28"/>
        </w:rPr>
      </w:pPr>
      <w:r w:rsidRPr="00C05D69">
        <w:rPr>
          <w:b/>
          <w:sz w:val="28"/>
          <w:szCs w:val="28"/>
        </w:rPr>
        <w:t>Supplementary Material</w:t>
      </w:r>
    </w:p>
    <w:p w:rsidR="00C05D69" w:rsidRPr="00C05D69" w:rsidRDefault="00C05D69" w:rsidP="00C05D69">
      <w:pPr>
        <w:pStyle w:val="MDPI61Supplementary"/>
        <w:jc w:val="center"/>
        <w:rPr>
          <w:sz w:val="28"/>
          <w:szCs w:val="28"/>
        </w:rPr>
      </w:pPr>
    </w:p>
    <w:p w:rsidR="007B5E87" w:rsidRPr="003A4444" w:rsidRDefault="00A00B7A" w:rsidP="003A4444">
      <w:pPr>
        <w:pStyle w:val="MDPI61Supplementary"/>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25pt;height:453.75pt">
            <v:imagedata r:id="rId5" o:title="FigS1"/>
          </v:shape>
        </w:pict>
      </w:r>
    </w:p>
    <w:p w:rsidR="00C05D69" w:rsidRDefault="00C05D69" w:rsidP="003A4444">
      <w:pPr>
        <w:pStyle w:val="MDPI31text"/>
        <w:ind w:firstLine="0"/>
      </w:pPr>
      <w:r>
        <w:rPr>
          <w:b/>
        </w:rPr>
        <w:t xml:space="preserve">Supplementary </w:t>
      </w:r>
      <w:r w:rsidRPr="00744116">
        <w:rPr>
          <w:b/>
        </w:rPr>
        <w:t xml:space="preserve">Figure </w:t>
      </w:r>
      <w:r>
        <w:rPr>
          <w:b/>
        </w:rPr>
        <w:t>S1</w:t>
      </w:r>
      <w:r>
        <w:t>.</w:t>
      </w:r>
      <w:r w:rsidRPr="00616985">
        <w:t xml:space="preserve"> </w:t>
      </w:r>
      <w:r w:rsidR="00D622D5">
        <w:t>Physicochemical characterization of fusion-involved compounds. Zeta potential measurements and size characterizations wherever possible, were performed for mRNA, fusogenic liposomes (FL) and mixtures of both (a). Zeta potential measurements were performed for RNA complexes with varying concentrations of protamine as neutralizing reagent (b). In (c) i</w:t>
      </w:r>
      <w:r w:rsidRPr="00400833">
        <w:t xml:space="preserve">nfluence of neutralization reagents </w:t>
      </w:r>
      <w:r w:rsidR="00D622D5">
        <w:t xml:space="preserve">with increasing concentration </w:t>
      </w:r>
      <w:r w:rsidRPr="00400833">
        <w:t xml:space="preserve">on liposomal complex homogeneity and </w:t>
      </w:r>
      <w:r w:rsidR="00D622D5">
        <w:t>zeta potentials were characterized</w:t>
      </w:r>
      <w:r w:rsidRPr="00400833">
        <w:t>. Four NRs, i.e. protamine, linear and branched PEIs, and chitosan with different molecular weights were tested at varying concentrations (NR/mRNA ratios, indicated as numbers in each graph) to partially neutralize eGFP-mRNA and to complex it with FLs. Resulting zeta potential distributions are plotted. Red lines indicate distribution maxima in case only one maximum is present</w:t>
      </w:r>
      <w:r>
        <w:t>. Highest zeta potentials with lowest peak distributions and smallest complex sizes resulted in highest transfer efficiencies (adequate neutralization in third line for each NR).</w:t>
      </w:r>
    </w:p>
    <w:p w:rsidR="00C05D69" w:rsidRPr="00A56801" w:rsidRDefault="00C05D69" w:rsidP="003A4444">
      <w:pPr>
        <w:jc w:val="center"/>
        <w:rPr>
          <w:lang w:bidi="en-US"/>
        </w:rPr>
      </w:pPr>
      <w:r>
        <w:rPr>
          <w:noProof/>
          <w:snapToGrid w:val="0"/>
          <w:lang w:eastAsia="zh-CN"/>
        </w:rPr>
        <w:lastRenderedPageBreak/>
        <w:drawing>
          <wp:inline distT="0" distB="0" distL="0" distR="0">
            <wp:extent cx="3853180" cy="5076825"/>
            <wp:effectExtent l="0" t="0" r="0" b="9525"/>
            <wp:docPr id="2" name="Grafik 2"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853180" cy="5076825"/>
                    </a:xfrm>
                    <a:prstGeom prst="rect">
                      <a:avLst/>
                    </a:prstGeom>
                    <a:noFill/>
                  </pic:spPr>
                </pic:pic>
              </a:graphicData>
            </a:graphic>
          </wp:inline>
        </w:drawing>
      </w:r>
    </w:p>
    <w:p w:rsidR="00C05D69" w:rsidRPr="00B20075" w:rsidRDefault="00C05D69" w:rsidP="00C05D69">
      <w:pPr>
        <w:pStyle w:val="MDPI31text"/>
        <w:ind w:firstLine="0"/>
      </w:pPr>
      <w:r>
        <w:rPr>
          <w:b/>
        </w:rPr>
        <w:t xml:space="preserve">Supplementary </w:t>
      </w:r>
      <w:r w:rsidRPr="00744116">
        <w:rPr>
          <w:b/>
        </w:rPr>
        <w:t xml:space="preserve">Figure </w:t>
      </w:r>
      <w:r>
        <w:rPr>
          <w:b/>
        </w:rPr>
        <w:t>S2</w:t>
      </w:r>
      <w:r>
        <w:t>.</w:t>
      </w:r>
      <w:r w:rsidRPr="00616985">
        <w:t xml:space="preserve"> </w:t>
      </w:r>
      <w:r w:rsidRPr="00B20075">
        <w:t xml:space="preserve">Complex homogeneity of mRNA fusogenic liposomes depends on the NR/NA molar ratio. Transmission, phase contrast and fluorescence micrographs of protamine/eGFP-mRNA/FLs complexes after sedimentation on a glass surface. Protamine/mRNA molar ratios of 50/1 and 25/1 are shown. NR/mRNA ratio of 50/1 </w:t>
      </w:r>
      <w:proofErr w:type="spellStart"/>
      <w:r w:rsidRPr="00B20075">
        <w:t>mol</w:t>
      </w:r>
      <w:proofErr w:type="spellEnd"/>
      <w:r w:rsidRPr="00B20075">
        <w:t>/</w:t>
      </w:r>
      <w:proofErr w:type="spellStart"/>
      <w:r w:rsidRPr="00B20075">
        <w:t>mol</w:t>
      </w:r>
      <w:proofErr w:type="spellEnd"/>
      <w:r w:rsidRPr="00B20075">
        <w:t xml:space="preserve"> resulted in homogeneous complexes without any aggregates while decreasing NR amount (protamine/mRNA=25/1) yielded </w:t>
      </w:r>
      <w:proofErr w:type="spellStart"/>
      <w:r w:rsidRPr="00B20075">
        <w:t>inhomogenous</w:t>
      </w:r>
      <w:proofErr w:type="spellEnd"/>
      <w:r w:rsidRPr="00B20075">
        <w:t xml:space="preserve"> complexes with large aggregates. Scale bars, 200 µm.</w:t>
      </w:r>
    </w:p>
    <w:p w:rsidR="007B5E87" w:rsidRDefault="007B5E87"/>
    <w:p w:rsidR="00C05D69" w:rsidRPr="00F75C00" w:rsidRDefault="00C05D69" w:rsidP="003A4444">
      <w:r w:rsidRPr="00C05D69">
        <w:rPr>
          <w:rFonts w:ascii="Palatino Linotype" w:hAnsi="Palatino Linotype"/>
          <w:b/>
          <w:snapToGrid w:val="0"/>
          <w:sz w:val="20"/>
          <w:szCs w:val="22"/>
          <w:lang w:bidi="en-US"/>
        </w:rPr>
        <w:t>Supplementary</w:t>
      </w:r>
      <w:r>
        <w:t xml:space="preserve"> </w:t>
      </w:r>
      <w:r w:rsidRPr="00C05D69">
        <w:rPr>
          <w:rFonts w:ascii="Palatino Linotype" w:hAnsi="Palatino Linotype"/>
          <w:b/>
          <w:snapToGrid w:val="0"/>
          <w:sz w:val="20"/>
          <w:szCs w:val="22"/>
          <w:lang w:bidi="en-US"/>
        </w:rPr>
        <w:t>Movie M1:</w:t>
      </w:r>
      <w:r w:rsidR="00F75C00">
        <w:rPr>
          <w:rFonts w:ascii="Palatino Linotype" w:hAnsi="Palatino Linotype"/>
          <w:b/>
          <w:snapToGrid w:val="0"/>
          <w:sz w:val="20"/>
          <w:szCs w:val="22"/>
          <w:lang w:bidi="en-US"/>
        </w:rPr>
        <w:t xml:space="preserve"> </w:t>
      </w:r>
      <w:r w:rsidR="00F75C00" w:rsidRPr="00F75C00">
        <w:rPr>
          <w:rFonts w:ascii="Palatino Linotype" w:hAnsi="Palatino Linotype"/>
          <w:snapToGrid w:val="0"/>
          <w:sz w:val="20"/>
          <w:szCs w:val="22"/>
          <w:lang w:bidi="en-US"/>
        </w:rPr>
        <w:t>Influence of liposomal formulation</w:t>
      </w:r>
      <w:r w:rsidR="009435C4">
        <w:rPr>
          <w:rFonts w:ascii="Palatino Linotype" w:hAnsi="Palatino Linotype"/>
          <w:snapToGrid w:val="0"/>
          <w:sz w:val="20"/>
          <w:szCs w:val="22"/>
          <w:lang w:bidi="en-US"/>
        </w:rPr>
        <w:t>s</w:t>
      </w:r>
      <w:r w:rsidR="00F75C00" w:rsidRPr="00F75C00">
        <w:rPr>
          <w:rFonts w:ascii="Palatino Linotype" w:hAnsi="Palatino Linotype"/>
          <w:snapToGrid w:val="0"/>
          <w:sz w:val="20"/>
          <w:szCs w:val="22"/>
          <w:lang w:bidi="en-US"/>
        </w:rPr>
        <w:t xml:space="preserve"> on membrane fusion. The liposomal formulations DOPE/D</w:t>
      </w:r>
      <w:r w:rsidR="00F75C00">
        <w:rPr>
          <w:rFonts w:ascii="Palatino Linotype" w:hAnsi="Palatino Linotype"/>
          <w:snapToGrid w:val="0"/>
          <w:sz w:val="20"/>
          <w:szCs w:val="22"/>
          <w:lang w:bidi="en-US"/>
        </w:rPr>
        <w:t>OTAP/DIR (mixing ratio 1/1/0.1)</w:t>
      </w:r>
      <w:r w:rsidR="00F75C00" w:rsidRPr="00F75C00">
        <w:rPr>
          <w:rFonts w:ascii="Palatino Linotype" w:hAnsi="Palatino Linotype"/>
          <w:snapToGrid w:val="0"/>
          <w:sz w:val="20"/>
          <w:szCs w:val="22"/>
          <w:lang w:bidi="en-US"/>
        </w:rPr>
        <w:t>, DOPE/MVL-5/DIR (1/0.2/0.1 and 1/1/0.1)</w:t>
      </w:r>
      <w:r w:rsidR="00F75C00">
        <w:rPr>
          <w:rFonts w:ascii="Palatino Linotype" w:hAnsi="Palatino Linotype"/>
          <w:snapToGrid w:val="0"/>
          <w:sz w:val="20"/>
          <w:szCs w:val="22"/>
          <w:lang w:bidi="en-US"/>
        </w:rPr>
        <w:t xml:space="preserve"> and DOPC/DOTAP/</w:t>
      </w:r>
      <w:proofErr w:type="spellStart"/>
      <w:r w:rsidR="00F75C00">
        <w:rPr>
          <w:rFonts w:ascii="Palatino Linotype" w:hAnsi="Palatino Linotype"/>
          <w:snapToGrid w:val="0"/>
          <w:sz w:val="20"/>
          <w:szCs w:val="22"/>
          <w:lang w:bidi="en-US"/>
        </w:rPr>
        <w:t>DiR</w:t>
      </w:r>
      <w:proofErr w:type="spellEnd"/>
      <w:r w:rsidR="00F75C00">
        <w:rPr>
          <w:rFonts w:ascii="Palatino Linotype" w:hAnsi="Palatino Linotype"/>
          <w:snapToGrid w:val="0"/>
          <w:sz w:val="20"/>
          <w:szCs w:val="22"/>
          <w:lang w:bidi="en-US"/>
        </w:rPr>
        <w:t xml:space="preserve"> (1/1/0.1) </w:t>
      </w:r>
      <w:r w:rsidR="00F75C00" w:rsidRPr="00F75C00">
        <w:rPr>
          <w:rFonts w:ascii="Palatino Linotype" w:hAnsi="Palatino Linotype"/>
          <w:snapToGrid w:val="0"/>
          <w:sz w:val="20"/>
          <w:szCs w:val="22"/>
          <w:lang w:bidi="en-US"/>
        </w:rPr>
        <w:t>were used to deliver eGFP-mRNA into CHO cells. The liposo</w:t>
      </w:r>
      <w:r w:rsidR="00F75C00">
        <w:rPr>
          <w:rFonts w:ascii="Palatino Linotype" w:hAnsi="Palatino Linotype"/>
          <w:snapToGrid w:val="0"/>
          <w:sz w:val="20"/>
          <w:szCs w:val="22"/>
          <w:lang w:bidi="en-US"/>
        </w:rPr>
        <w:t xml:space="preserve">me-cell interactions of all </w:t>
      </w:r>
      <w:proofErr w:type="spellStart"/>
      <w:r w:rsidR="00F75C00">
        <w:rPr>
          <w:rFonts w:ascii="Palatino Linotype" w:hAnsi="Palatino Linotype"/>
          <w:snapToGrid w:val="0"/>
          <w:sz w:val="20"/>
          <w:szCs w:val="22"/>
          <w:lang w:bidi="en-US"/>
        </w:rPr>
        <w:t>DiR</w:t>
      </w:r>
      <w:proofErr w:type="spellEnd"/>
      <w:r w:rsidR="00F75C00">
        <w:rPr>
          <w:rFonts w:ascii="Palatino Linotype" w:hAnsi="Palatino Linotype"/>
          <w:snapToGrid w:val="0"/>
          <w:sz w:val="20"/>
          <w:szCs w:val="22"/>
          <w:lang w:bidi="en-US"/>
        </w:rPr>
        <w:t>-</w:t>
      </w:r>
      <w:r w:rsidR="00F75C00" w:rsidRPr="00F75C00">
        <w:rPr>
          <w:rFonts w:ascii="Palatino Linotype" w:hAnsi="Palatino Linotype"/>
          <w:snapToGrid w:val="0"/>
          <w:sz w:val="20"/>
          <w:szCs w:val="22"/>
          <w:lang w:bidi="en-US"/>
        </w:rPr>
        <w:t xml:space="preserve">formulations </w:t>
      </w:r>
      <w:r w:rsidR="00F75C00">
        <w:rPr>
          <w:rFonts w:ascii="Palatino Linotype" w:hAnsi="Palatino Linotype"/>
          <w:snapToGrid w:val="0"/>
          <w:sz w:val="20"/>
          <w:szCs w:val="22"/>
          <w:lang w:bidi="en-US"/>
        </w:rPr>
        <w:t>were</w:t>
      </w:r>
      <w:r w:rsidR="00F75C00" w:rsidRPr="00F75C00">
        <w:rPr>
          <w:rFonts w:ascii="Palatino Linotype" w:hAnsi="Palatino Linotype"/>
          <w:snapToGrid w:val="0"/>
          <w:sz w:val="20"/>
          <w:szCs w:val="22"/>
          <w:lang w:bidi="en-US"/>
        </w:rPr>
        <w:t xml:space="preserve"> analyzed by live cell microscopy</w:t>
      </w:r>
      <w:r w:rsidR="007B5E87">
        <w:rPr>
          <w:rFonts w:ascii="Palatino Linotype" w:hAnsi="Palatino Linotype"/>
          <w:snapToGrid w:val="0"/>
          <w:sz w:val="20"/>
          <w:szCs w:val="22"/>
          <w:lang w:bidi="en-US"/>
        </w:rPr>
        <w:t xml:space="preserve"> using appropriate</w:t>
      </w:r>
      <w:r w:rsidR="00F75C00">
        <w:rPr>
          <w:rFonts w:ascii="Palatino Linotype" w:hAnsi="Palatino Linotype"/>
          <w:snapToGrid w:val="0"/>
          <w:sz w:val="20"/>
          <w:szCs w:val="22"/>
          <w:lang w:bidi="en-US"/>
        </w:rPr>
        <w:t xml:space="preserve"> laser settings (Exc. 633 nm)</w:t>
      </w:r>
      <w:r w:rsidR="00F75C00" w:rsidRPr="00F75C00">
        <w:rPr>
          <w:rFonts w:ascii="Palatino Linotype" w:hAnsi="Palatino Linotype"/>
          <w:snapToGrid w:val="0"/>
          <w:sz w:val="20"/>
          <w:szCs w:val="22"/>
          <w:lang w:bidi="en-US"/>
        </w:rPr>
        <w:t>. For DOPE/D</w:t>
      </w:r>
      <w:r w:rsidR="00F75C00">
        <w:rPr>
          <w:rFonts w:ascii="Palatino Linotype" w:hAnsi="Palatino Linotype"/>
          <w:snapToGrid w:val="0"/>
          <w:sz w:val="20"/>
          <w:szCs w:val="22"/>
          <w:lang w:bidi="en-US"/>
        </w:rPr>
        <w:t xml:space="preserve">OTAP/DIR (mixing ratio 1/1/0.1) </w:t>
      </w:r>
      <w:r w:rsidR="00F75C00" w:rsidRPr="00F75C00">
        <w:rPr>
          <w:rFonts w:ascii="Palatino Linotype" w:hAnsi="Palatino Linotype"/>
          <w:snapToGrid w:val="0"/>
          <w:sz w:val="20"/>
          <w:szCs w:val="22"/>
          <w:lang w:bidi="en-US"/>
        </w:rPr>
        <w:t>and DOPE/MVL-5/DIR (1/0.2/0.1</w:t>
      </w:r>
      <w:r w:rsidR="00F75C00">
        <w:rPr>
          <w:rFonts w:ascii="Palatino Linotype" w:hAnsi="Palatino Linotype"/>
          <w:snapToGrid w:val="0"/>
          <w:sz w:val="20"/>
          <w:szCs w:val="22"/>
          <w:lang w:bidi="en-US"/>
        </w:rPr>
        <w:t xml:space="preserve">) </w:t>
      </w:r>
      <w:r w:rsidR="00F75C00" w:rsidRPr="00F75C00">
        <w:rPr>
          <w:rFonts w:ascii="Palatino Linotype" w:hAnsi="Palatino Linotype"/>
          <w:snapToGrid w:val="0"/>
          <w:sz w:val="20"/>
          <w:szCs w:val="22"/>
          <w:lang w:bidi="en-US"/>
        </w:rPr>
        <w:t>fusion signal</w:t>
      </w:r>
      <w:r w:rsidR="009435C4">
        <w:rPr>
          <w:rFonts w:ascii="Palatino Linotype" w:hAnsi="Palatino Linotype"/>
          <w:snapToGrid w:val="0"/>
          <w:sz w:val="20"/>
          <w:szCs w:val="22"/>
          <w:lang w:bidi="en-US"/>
        </w:rPr>
        <w:t>s were</w:t>
      </w:r>
      <w:r w:rsidR="00F75C00" w:rsidRPr="00F75C00">
        <w:rPr>
          <w:rFonts w:ascii="Palatino Linotype" w:hAnsi="Palatino Linotype"/>
          <w:snapToGrid w:val="0"/>
          <w:sz w:val="20"/>
          <w:szCs w:val="22"/>
          <w:lang w:bidi="en-US"/>
        </w:rPr>
        <w:t xml:space="preserve"> detected.</w:t>
      </w:r>
      <w:r w:rsidR="00F75C00">
        <w:rPr>
          <w:rFonts w:ascii="Palatino Linotype" w:hAnsi="Palatino Linotype"/>
          <w:snapToGrid w:val="0"/>
          <w:sz w:val="20"/>
          <w:szCs w:val="22"/>
          <w:lang w:bidi="en-US"/>
        </w:rPr>
        <w:t xml:space="preserve"> However</w:t>
      </w:r>
      <w:r w:rsidR="009435C4">
        <w:rPr>
          <w:rFonts w:ascii="Palatino Linotype" w:hAnsi="Palatino Linotype"/>
          <w:snapToGrid w:val="0"/>
          <w:sz w:val="20"/>
          <w:szCs w:val="22"/>
          <w:lang w:bidi="en-US"/>
        </w:rPr>
        <w:t>,</w:t>
      </w:r>
      <w:r w:rsidR="00F75C00">
        <w:rPr>
          <w:rFonts w:ascii="Palatino Linotype" w:hAnsi="Palatino Linotype"/>
          <w:snapToGrid w:val="0"/>
          <w:sz w:val="20"/>
          <w:szCs w:val="22"/>
          <w:lang w:bidi="en-US"/>
        </w:rPr>
        <w:t xml:space="preserve"> </w:t>
      </w:r>
      <w:r w:rsidR="007B5E87">
        <w:rPr>
          <w:rFonts w:ascii="Palatino Linotype" w:hAnsi="Palatino Linotype"/>
          <w:snapToGrid w:val="0"/>
          <w:sz w:val="20"/>
          <w:szCs w:val="22"/>
          <w:lang w:bidi="en-US"/>
        </w:rPr>
        <w:t xml:space="preserve">within </w:t>
      </w:r>
      <w:r w:rsidR="001B685D">
        <w:rPr>
          <w:rFonts w:ascii="Palatino Linotype" w:hAnsi="Palatino Linotype"/>
          <w:snapToGrid w:val="0"/>
          <w:sz w:val="20"/>
          <w:szCs w:val="22"/>
          <w:lang w:bidi="en-US"/>
        </w:rPr>
        <w:t>3</w:t>
      </w:r>
      <w:r w:rsidR="007B5E87">
        <w:rPr>
          <w:rFonts w:ascii="Palatino Linotype" w:hAnsi="Palatino Linotype"/>
          <w:snapToGrid w:val="0"/>
          <w:sz w:val="20"/>
          <w:szCs w:val="22"/>
          <w:lang w:bidi="en-US"/>
        </w:rPr>
        <w:t xml:space="preserve"> minutes </w:t>
      </w:r>
      <w:r w:rsidR="009435C4">
        <w:rPr>
          <w:rFonts w:ascii="Palatino Linotype" w:hAnsi="Palatino Linotype"/>
          <w:snapToGrid w:val="0"/>
          <w:sz w:val="20"/>
          <w:szCs w:val="22"/>
          <w:lang w:bidi="en-US"/>
        </w:rPr>
        <w:t xml:space="preserve">of </w:t>
      </w:r>
      <w:r w:rsidR="007B5E87">
        <w:rPr>
          <w:rFonts w:ascii="Palatino Linotype" w:hAnsi="Palatino Linotype"/>
          <w:snapToGrid w:val="0"/>
          <w:sz w:val="20"/>
          <w:szCs w:val="22"/>
          <w:lang w:bidi="en-US"/>
        </w:rPr>
        <w:t>incubation most</w:t>
      </w:r>
      <w:r w:rsidR="00F75C00">
        <w:rPr>
          <w:rFonts w:ascii="Palatino Linotype" w:hAnsi="Palatino Linotype"/>
          <w:snapToGrid w:val="0"/>
          <w:sz w:val="20"/>
          <w:szCs w:val="22"/>
          <w:lang w:bidi="en-US"/>
        </w:rPr>
        <w:t xml:space="preserve"> efficient fusion was </w:t>
      </w:r>
      <w:r w:rsidR="009435C4">
        <w:rPr>
          <w:rFonts w:ascii="Palatino Linotype" w:hAnsi="Palatino Linotype"/>
          <w:snapToGrid w:val="0"/>
          <w:sz w:val="20"/>
          <w:szCs w:val="22"/>
          <w:lang w:bidi="en-US"/>
        </w:rPr>
        <w:t>shown</w:t>
      </w:r>
      <w:r w:rsidR="00F75C00">
        <w:rPr>
          <w:rFonts w:ascii="Palatino Linotype" w:hAnsi="Palatino Linotype"/>
          <w:snapToGrid w:val="0"/>
          <w:sz w:val="20"/>
          <w:szCs w:val="22"/>
          <w:lang w:bidi="en-US"/>
        </w:rPr>
        <w:t xml:space="preserve"> for </w:t>
      </w:r>
      <w:r w:rsidR="00F75C00" w:rsidRPr="00F75C00">
        <w:rPr>
          <w:rFonts w:ascii="Palatino Linotype" w:hAnsi="Palatino Linotype"/>
          <w:snapToGrid w:val="0"/>
          <w:sz w:val="20"/>
          <w:szCs w:val="22"/>
          <w:lang w:bidi="en-US"/>
        </w:rPr>
        <w:t>DOPE/D</w:t>
      </w:r>
      <w:r w:rsidR="00F75C00">
        <w:rPr>
          <w:rFonts w:ascii="Palatino Linotype" w:hAnsi="Palatino Linotype"/>
          <w:snapToGrid w:val="0"/>
          <w:sz w:val="20"/>
          <w:szCs w:val="22"/>
          <w:lang w:bidi="en-US"/>
        </w:rPr>
        <w:t>OTAP/</w:t>
      </w:r>
      <w:bookmarkStart w:id="0" w:name="_GoBack"/>
      <w:bookmarkEnd w:id="0"/>
      <w:r w:rsidR="00F75C00">
        <w:rPr>
          <w:rFonts w:ascii="Palatino Linotype" w:hAnsi="Palatino Linotype"/>
          <w:snapToGrid w:val="0"/>
          <w:sz w:val="20"/>
          <w:szCs w:val="22"/>
          <w:lang w:bidi="en-US"/>
        </w:rPr>
        <w:t xml:space="preserve">DIR (mixing ratio 1/1/0.1). </w:t>
      </w:r>
      <w:r w:rsidR="00F75C00" w:rsidRPr="00F75C00">
        <w:rPr>
          <w:rFonts w:ascii="Palatino Linotype" w:hAnsi="Palatino Linotype"/>
          <w:snapToGrid w:val="0"/>
          <w:sz w:val="20"/>
          <w:szCs w:val="22"/>
          <w:lang w:bidi="en-US"/>
        </w:rPr>
        <w:t xml:space="preserve"> For </w:t>
      </w:r>
      <w:r w:rsidR="00F75C00">
        <w:rPr>
          <w:rFonts w:ascii="Palatino Linotype" w:hAnsi="Palatino Linotype"/>
          <w:snapToGrid w:val="0"/>
          <w:sz w:val="20"/>
          <w:szCs w:val="22"/>
          <w:lang w:bidi="en-US"/>
        </w:rPr>
        <w:t>DOPE/MVL-5/DIR (</w:t>
      </w:r>
      <w:r w:rsidR="00F75C00" w:rsidRPr="00F75C00">
        <w:rPr>
          <w:rFonts w:ascii="Palatino Linotype" w:hAnsi="Palatino Linotype"/>
          <w:snapToGrid w:val="0"/>
          <w:sz w:val="20"/>
          <w:szCs w:val="22"/>
          <w:lang w:bidi="en-US"/>
        </w:rPr>
        <w:t>1/1/0.1)</w:t>
      </w:r>
      <w:r w:rsidR="00F75C00">
        <w:rPr>
          <w:rFonts w:ascii="Palatino Linotype" w:hAnsi="Palatino Linotype"/>
          <w:snapToGrid w:val="0"/>
          <w:sz w:val="20"/>
          <w:szCs w:val="22"/>
          <w:lang w:bidi="en-US"/>
        </w:rPr>
        <w:t xml:space="preserve"> </w:t>
      </w:r>
      <w:r w:rsidR="00F75C00" w:rsidRPr="00F75C00">
        <w:rPr>
          <w:rFonts w:ascii="Palatino Linotype" w:hAnsi="Palatino Linotype"/>
          <w:snapToGrid w:val="0"/>
          <w:sz w:val="20"/>
          <w:szCs w:val="22"/>
          <w:lang w:bidi="en-US"/>
        </w:rPr>
        <w:t xml:space="preserve">and </w:t>
      </w:r>
      <w:r w:rsidR="00F75C00">
        <w:rPr>
          <w:rFonts w:ascii="Palatino Linotype" w:hAnsi="Palatino Linotype"/>
          <w:snapToGrid w:val="0"/>
          <w:sz w:val="20"/>
          <w:szCs w:val="22"/>
          <w:lang w:bidi="en-US"/>
        </w:rPr>
        <w:t>DOPC/DOTAP/</w:t>
      </w:r>
      <w:proofErr w:type="spellStart"/>
      <w:r w:rsidR="00F75C00">
        <w:rPr>
          <w:rFonts w:ascii="Palatino Linotype" w:hAnsi="Palatino Linotype"/>
          <w:snapToGrid w:val="0"/>
          <w:sz w:val="20"/>
          <w:szCs w:val="22"/>
          <w:lang w:bidi="en-US"/>
        </w:rPr>
        <w:t>DiR</w:t>
      </w:r>
      <w:proofErr w:type="spellEnd"/>
      <w:r w:rsidR="00F75C00">
        <w:rPr>
          <w:rFonts w:ascii="Palatino Linotype" w:hAnsi="Palatino Linotype"/>
          <w:snapToGrid w:val="0"/>
          <w:sz w:val="20"/>
          <w:szCs w:val="22"/>
          <w:lang w:bidi="en-US"/>
        </w:rPr>
        <w:t xml:space="preserve"> (1/1/0.1) </w:t>
      </w:r>
      <w:r w:rsidR="00F75C00" w:rsidRPr="00F75C00">
        <w:rPr>
          <w:rFonts w:ascii="Palatino Linotype" w:hAnsi="Palatino Linotype"/>
          <w:snapToGrid w:val="0"/>
          <w:sz w:val="20"/>
          <w:szCs w:val="22"/>
          <w:lang w:bidi="en-US"/>
        </w:rPr>
        <w:t xml:space="preserve">only </w:t>
      </w:r>
      <w:r w:rsidR="007B5E87">
        <w:rPr>
          <w:rFonts w:ascii="Palatino Linotype" w:hAnsi="Palatino Linotype"/>
          <w:snapToGrid w:val="0"/>
          <w:sz w:val="20"/>
          <w:szCs w:val="22"/>
          <w:lang w:bidi="en-US"/>
        </w:rPr>
        <w:t>punctual</w:t>
      </w:r>
      <w:r w:rsidR="00F75C00">
        <w:rPr>
          <w:rFonts w:ascii="Palatino Linotype" w:hAnsi="Palatino Linotype"/>
          <w:snapToGrid w:val="0"/>
          <w:sz w:val="20"/>
          <w:szCs w:val="22"/>
          <w:lang w:bidi="en-US"/>
        </w:rPr>
        <w:t xml:space="preserve"> </w:t>
      </w:r>
      <w:proofErr w:type="spellStart"/>
      <w:r w:rsidR="00F75C00">
        <w:rPr>
          <w:rFonts w:ascii="Palatino Linotype" w:hAnsi="Palatino Linotype"/>
          <w:snapToGrid w:val="0"/>
          <w:sz w:val="20"/>
          <w:szCs w:val="22"/>
          <w:lang w:bidi="en-US"/>
        </w:rPr>
        <w:t>DiR</w:t>
      </w:r>
      <w:proofErr w:type="spellEnd"/>
      <w:r w:rsidR="00F75C00">
        <w:rPr>
          <w:rFonts w:ascii="Palatino Linotype" w:hAnsi="Palatino Linotype"/>
          <w:snapToGrid w:val="0"/>
          <w:sz w:val="20"/>
          <w:szCs w:val="22"/>
          <w:lang w:bidi="en-US"/>
        </w:rPr>
        <w:t xml:space="preserve"> signals indicated membrane interactions of those </w:t>
      </w:r>
      <w:r w:rsidR="007B5E87">
        <w:rPr>
          <w:rFonts w:ascii="Palatino Linotype" w:hAnsi="Palatino Linotype"/>
          <w:snapToGrid w:val="0"/>
          <w:sz w:val="20"/>
          <w:szCs w:val="22"/>
          <w:lang w:bidi="en-US"/>
        </w:rPr>
        <w:t>formulations</w:t>
      </w:r>
      <w:r w:rsidR="00F75C00">
        <w:rPr>
          <w:rFonts w:ascii="Palatino Linotype" w:hAnsi="Palatino Linotype"/>
          <w:snapToGrid w:val="0"/>
          <w:sz w:val="20"/>
          <w:szCs w:val="22"/>
          <w:lang w:bidi="en-US"/>
        </w:rPr>
        <w:t xml:space="preserve"> without membrane fusion</w:t>
      </w:r>
      <w:r w:rsidR="00F75C00" w:rsidRPr="00F75C00">
        <w:rPr>
          <w:rFonts w:ascii="Palatino Linotype" w:hAnsi="Palatino Linotype"/>
          <w:snapToGrid w:val="0"/>
          <w:sz w:val="20"/>
          <w:szCs w:val="22"/>
          <w:lang w:bidi="en-US"/>
        </w:rPr>
        <w:t>.</w:t>
      </w:r>
    </w:p>
    <w:sectPr w:rsidR="00C05D69" w:rsidRPr="00F75C00">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5D69"/>
    <w:rsid w:val="001B685D"/>
    <w:rsid w:val="003A0EEE"/>
    <w:rsid w:val="003A4444"/>
    <w:rsid w:val="0059797A"/>
    <w:rsid w:val="007B5E87"/>
    <w:rsid w:val="009435C4"/>
    <w:rsid w:val="00A00B7A"/>
    <w:rsid w:val="00AB5556"/>
    <w:rsid w:val="00AB775B"/>
    <w:rsid w:val="00C05D69"/>
    <w:rsid w:val="00D622D5"/>
    <w:rsid w:val="00F75C0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5E7BDA6-6CE6-4EBB-A45D-BB2C1D1F3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5D69"/>
    <w:pPr>
      <w:spacing w:after="0" w:line="340" w:lineRule="atLeast"/>
      <w:jc w:val="both"/>
    </w:pPr>
    <w:rPr>
      <w:rFonts w:ascii="Times New Roman" w:eastAsia="Times New Roman" w:hAnsi="Times New Roman" w:cs="Times New Roman"/>
      <w:color w:val="000000"/>
      <w:sz w:val="24"/>
      <w:szCs w:val="20"/>
      <w:lang w:val="en-US"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61Supplementary">
    <w:name w:val="MDPI_6.1_Supplementary"/>
    <w:basedOn w:val="Normal"/>
    <w:qFormat/>
    <w:rsid w:val="00C05D69"/>
    <w:pPr>
      <w:adjustRightInd w:val="0"/>
      <w:snapToGrid w:val="0"/>
      <w:spacing w:before="240" w:line="200" w:lineRule="atLeast"/>
    </w:pPr>
    <w:rPr>
      <w:rFonts w:ascii="Palatino Linotype" w:hAnsi="Palatino Linotype"/>
      <w:snapToGrid w:val="0"/>
      <w:sz w:val="18"/>
      <w:lang w:eastAsia="en-US" w:bidi="en-US"/>
    </w:rPr>
  </w:style>
  <w:style w:type="paragraph" w:customStyle="1" w:styleId="MDPI31text">
    <w:name w:val="MDPI_3.1_text"/>
    <w:qFormat/>
    <w:rsid w:val="00C05D69"/>
    <w:pPr>
      <w:adjustRightInd w:val="0"/>
      <w:snapToGrid w:val="0"/>
      <w:spacing w:after="0" w:line="260" w:lineRule="atLeast"/>
      <w:ind w:firstLine="425"/>
      <w:jc w:val="both"/>
    </w:pPr>
    <w:rPr>
      <w:rFonts w:ascii="Palatino Linotype" w:eastAsia="Times New Roman" w:hAnsi="Palatino Linotype" w:cs="Times New Roman"/>
      <w:snapToGrid w:val="0"/>
      <w:color w:val="000000"/>
      <w:sz w:val="20"/>
      <w:lang w:val="en-US" w:eastAsia="de-DE" w:bidi="en-US"/>
    </w:rPr>
  </w:style>
  <w:style w:type="character" w:styleId="Hyperlink">
    <w:name w:val="Hyperlink"/>
    <w:uiPriority w:val="99"/>
    <w:unhideWhenUsed/>
    <w:rsid w:val="00C05D69"/>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F8AB80-75EC-4619-98D5-ECF8C9344C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308</Words>
  <Characters>2078</Characters>
  <Application>Microsoft Office Word</Application>
  <DocSecurity>0</DocSecurity>
  <Lines>31</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Hoffmann, Bernd</dc:creator>
  <cp:keywords/>
  <dc:description/>
  <cp:lastModifiedBy>MDPI</cp:lastModifiedBy>
  <cp:revision>5</cp:revision>
  <dcterms:created xsi:type="dcterms:W3CDTF">2020-03-23T11:58:00Z</dcterms:created>
  <dcterms:modified xsi:type="dcterms:W3CDTF">2020-03-24T02:06:00Z</dcterms:modified>
</cp:coreProperties>
</file>